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87" w:rsidRDefault="001879F2">
      <w:pPr>
        <w:spacing w:after="32" w:line="259" w:lineRule="auto"/>
        <w:ind w:left="70" w:right="0" w:firstLine="0"/>
        <w:jc w:val="center"/>
      </w:pPr>
      <w:r>
        <w:t xml:space="preserve"> </w:t>
      </w:r>
    </w:p>
    <w:p w:rsidR="006C2987" w:rsidRDefault="001879F2">
      <w:pPr>
        <w:spacing w:after="0" w:line="276" w:lineRule="auto"/>
        <w:ind w:left="0" w:right="0" w:firstLine="0"/>
        <w:jc w:val="center"/>
      </w:pPr>
      <w:r>
        <w:rPr>
          <w:b/>
        </w:rPr>
        <w:t xml:space="preserve">Типовое техническое решение по организации коммерческого учета электроэнергии в многоквартирных жилых домах-новостройках с использованием беспроводных модулей </w:t>
      </w:r>
      <w:proofErr w:type="spellStart"/>
      <w:r>
        <w:rPr>
          <w:b/>
        </w:rPr>
        <w:t>LoRaWAN</w:t>
      </w:r>
      <w:proofErr w:type="spellEnd"/>
      <w:r>
        <w:rPr>
          <w:b/>
        </w:rPr>
        <w:t xml:space="preserve"> </w:t>
      </w:r>
    </w:p>
    <w:p w:rsidR="006C2987" w:rsidRDefault="001E12F5" w:rsidP="006319C6">
      <w:pPr>
        <w:spacing w:after="73" w:line="259" w:lineRule="auto"/>
        <w:ind w:left="0" w:right="0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6391275" cy="453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с подпис.jpg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3" r="21386" b="6386"/>
                    <a:stretch/>
                  </pic:blipFill>
                  <pic:spPr bwMode="auto">
                    <a:xfrm>
                      <a:off x="0" y="0"/>
                      <a:ext cx="6429883" cy="456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2987" w:rsidRDefault="001879F2" w:rsidP="006319C6">
      <w:pPr>
        <w:ind w:left="0" w:right="-13" w:firstLine="345"/>
      </w:pPr>
      <w:r>
        <w:t xml:space="preserve"> Оснащенные беспроводными модулями </w:t>
      </w:r>
      <w:proofErr w:type="spellStart"/>
      <w:r>
        <w:t>LoRaWAN</w:t>
      </w:r>
      <w:proofErr w:type="spellEnd"/>
      <w:r>
        <w:t xml:space="preserve"> приборы учета электроэнергии осуществляют информационный обмен с интеллектуальной системой учета гарантирующего поставщика с использованием беспроводных модулей стандарта </w:t>
      </w:r>
      <w:proofErr w:type="spellStart"/>
      <w:r>
        <w:t>LoRaWAN</w:t>
      </w:r>
      <w:proofErr w:type="spellEnd"/>
      <w:r>
        <w:t xml:space="preserve">.  Дополнительные требования: </w:t>
      </w:r>
    </w:p>
    <w:p w:rsidR="006C2987" w:rsidRDefault="001879F2">
      <w:pPr>
        <w:numPr>
          <w:ilvl w:val="0"/>
          <w:numId w:val="1"/>
        </w:numPr>
        <w:ind w:right="-13" w:hanging="360"/>
      </w:pPr>
      <w:r>
        <w:t xml:space="preserve">так как беспроводной </w:t>
      </w:r>
      <w:proofErr w:type="spellStart"/>
      <w:r>
        <w:t>LoRaWAN</w:t>
      </w:r>
      <w:proofErr w:type="spellEnd"/>
      <w:r>
        <w:t xml:space="preserve"> модуль привязан к конкретным базовым станциям </w:t>
      </w:r>
      <w:proofErr w:type="spellStart"/>
      <w:r>
        <w:t>LoRa</w:t>
      </w:r>
      <w:proofErr w:type="spellEnd"/>
      <w:r>
        <w:t xml:space="preserve">, то данное техническое решение может быть использовано только в зоне уверенного покрытия сигнала </w:t>
      </w:r>
      <w:proofErr w:type="spellStart"/>
      <w:r>
        <w:t>LoRa</w:t>
      </w:r>
      <w:proofErr w:type="spellEnd"/>
      <w:r>
        <w:t xml:space="preserve"> базовых станций; </w:t>
      </w:r>
    </w:p>
    <w:p w:rsidR="006C2987" w:rsidRDefault="001879F2">
      <w:pPr>
        <w:numPr>
          <w:ilvl w:val="0"/>
          <w:numId w:val="1"/>
        </w:numPr>
        <w:spacing w:after="4"/>
        <w:ind w:right="-13" w:hanging="360"/>
      </w:pPr>
      <w:r>
        <w:t>использовать приборы учета, совместимые с программным обеспечением центра сбора данных интеллектуальной системы учета АО «</w:t>
      </w:r>
      <w:proofErr w:type="spellStart"/>
      <w:r>
        <w:t>Горэлектросеть</w:t>
      </w:r>
      <w:proofErr w:type="spellEnd"/>
      <w:r>
        <w:t xml:space="preserve">» г. Невинномысск; </w:t>
      </w:r>
    </w:p>
    <w:p w:rsidR="006C2987" w:rsidRDefault="001879F2" w:rsidP="006319C6">
      <w:pPr>
        <w:numPr>
          <w:ilvl w:val="0"/>
          <w:numId w:val="1"/>
        </w:numPr>
        <w:spacing w:after="4"/>
        <w:ind w:right="-13" w:hanging="360"/>
      </w:pPr>
      <w:r>
        <w:t xml:space="preserve">проект </w:t>
      </w:r>
      <w:r>
        <w:tab/>
        <w:t xml:space="preserve">организации </w:t>
      </w:r>
      <w:r>
        <w:tab/>
        <w:t xml:space="preserve">учета </w:t>
      </w:r>
      <w:r>
        <w:tab/>
        <w:t xml:space="preserve">требует </w:t>
      </w:r>
      <w:r>
        <w:tab/>
        <w:t xml:space="preserve">согласования </w:t>
      </w:r>
      <w:r>
        <w:tab/>
        <w:t>с                    АО «</w:t>
      </w:r>
      <w:proofErr w:type="spellStart"/>
      <w:r>
        <w:t>Горэлектросеть</w:t>
      </w:r>
      <w:proofErr w:type="spellEnd"/>
      <w:r>
        <w:t xml:space="preserve">» г. Невинномысск;   </w:t>
      </w:r>
    </w:p>
    <w:sectPr w:rsidR="006C2987" w:rsidSect="001879F2">
      <w:pgSz w:w="11899" w:h="16838"/>
      <w:pgMar w:top="1440" w:right="70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B9D"/>
    <w:multiLevelType w:val="hybridMultilevel"/>
    <w:tmpl w:val="8B8A8EC4"/>
    <w:lvl w:ilvl="0" w:tplc="7CBCDA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8B0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E92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1498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4CC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816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2B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8E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4F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87"/>
    <w:rsid w:val="001879F2"/>
    <w:rsid w:val="001E12F5"/>
    <w:rsid w:val="006319C6"/>
    <w:rsid w:val="006C2987"/>
    <w:rsid w:val="007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9BBD"/>
  <w15:docId w15:val="{25F2341B-A133-41F4-9D1C-4DE9887B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73" w:lineRule="auto"/>
      <w:ind w:left="370" w:right="4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DEAB-ADE9-4C36-B08E-D2DB7A4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energosbyt</dc:creator>
  <cp:keywords/>
  <cp:lastModifiedBy>ascue</cp:lastModifiedBy>
  <cp:revision>4</cp:revision>
  <dcterms:created xsi:type="dcterms:W3CDTF">2024-02-08T06:35:00Z</dcterms:created>
  <dcterms:modified xsi:type="dcterms:W3CDTF">2024-02-16T06:49:00Z</dcterms:modified>
</cp:coreProperties>
</file>